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pPr>
        <w:pStyle w:val="5"/>
        <w:spacing w:before="6"/>
        <w:rPr>
          <w:rFonts w:hint="default" w:ascii="Times New Roman" w:hAnsi="Times New Roman" w:eastAsia="仿宋_GB2312" w:cs="Times New Roman"/>
          <w:b/>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pStyle w:val="5"/>
        <w:spacing w:before="7"/>
        <w:rPr>
          <w:rFonts w:hint="default" w:ascii="Times New Roman" w:hAnsi="Times New Roman" w:eastAsia="仿宋_GB2312" w:cs="Times New Roman"/>
          <w:sz w:val="32"/>
          <w:szCs w:val="32"/>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pPr>
        <w:pStyle w:val="5"/>
        <w:rPr>
          <w:rFonts w:hint="default" w:ascii="Times New Roman" w:hAnsi="Times New Roman" w:eastAsia="仿宋_GB2312" w:cs="Times New Roman"/>
          <w:sz w:val="32"/>
          <w:szCs w:val="32"/>
        </w:rPr>
      </w:pPr>
    </w:p>
    <w:p>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1"/>
        <w:spacing w:line="580" w:lineRule="exact"/>
        <w:ind w:firstLine="0" w:firstLineChars="0"/>
        <w:rPr>
          <w:rFonts w:hint="default" w:ascii="Times New Roman" w:hAnsi="Times New Roman" w:eastAsia="仿宋"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eastAsia" w:cs="Times New Roman" w:eastAsiaTheme="minorEastAsia"/>
          <w:bCs/>
          <w:color w:val="auto"/>
          <w:sz w:val="24"/>
          <w:szCs w:val="24"/>
          <w:highlight w:val="none"/>
          <w:lang w:val="en-US" w:eastAsia="zh-CN" w:bidi="ar-SA"/>
        </w:rPr>
        <w:t>成都荣嘉逸建筑</w:t>
      </w:r>
      <w:r>
        <w:rPr>
          <w:rFonts w:hint="default" w:ascii="Times New Roman" w:hAnsi="Times New Roman" w:cs="Times New Roman" w:eastAsiaTheme="minorEastAsia"/>
          <w:bCs/>
          <w:color w:val="auto"/>
          <w:sz w:val="24"/>
          <w:szCs w:val="24"/>
          <w:highlight w:val="none"/>
          <w:lang w:val="en-US" w:eastAsia="zh-CN" w:bidi="ar-SA"/>
        </w:rPr>
        <w:t>有限公司：</w:t>
      </w:r>
    </w:p>
    <w:p>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项目名称：遂宁市蓬溪县幸福美丽乡村路(乡村振兴共富路)三期（Y164赤城至文井段主线、常乐至天福公路改建工程主线）沥青混凝土</w:t>
      </w:r>
      <w:r>
        <w:rPr>
          <w:rFonts w:hint="eastAsia" w:ascii="Times New Roman" w:hAnsi="Times New Roman" w:eastAsia="仿宋" w:cs="Times New Roman"/>
          <w:kern w:val="2"/>
          <w:sz w:val="24"/>
          <w:szCs w:val="24"/>
          <w:lang w:val="en-US" w:eastAsia="zh-CN" w:bidi="ar-SA"/>
        </w:rPr>
        <w:t>等</w:t>
      </w:r>
      <w:r>
        <w:rPr>
          <w:rFonts w:hint="default" w:ascii="Times New Roman" w:hAnsi="Times New Roman" w:eastAsia="仿宋" w:cs="Times New Roman"/>
          <w:kern w:val="2"/>
          <w:sz w:val="24"/>
          <w:szCs w:val="24"/>
          <w:lang w:val="en-US" w:eastAsia="zh-CN" w:bidi="ar-SA"/>
        </w:rPr>
        <w:t>询价采购</w:t>
      </w:r>
      <w:r>
        <w:rPr>
          <w:rFonts w:hint="eastAsia" w:ascii="Times New Roman" w:hAnsi="Times New Roman" w:eastAsia="仿宋" w:cs="Times New Roman"/>
          <w:kern w:val="2"/>
          <w:sz w:val="24"/>
          <w:szCs w:val="24"/>
          <w:lang w:val="en-US" w:eastAsia="zh-CN" w:bidi="ar-SA"/>
        </w:rPr>
        <w:t>工程</w:t>
      </w:r>
      <w:r>
        <w:rPr>
          <w:rFonts w:hint="default" w:ascii="Times New Roman" w:hAnsi="Times New Roman" w:eastAsia="仿宋" w:cs="Times New Roman"/>
          <w:kern w:val="2"/>
          <w:sz w:val="24"/>
          <w:szCs w:val="24"/>
          <w:lang w:val="en-US" w:eastAsia="zh-CN" w:bidi="ar-SA"/>
        </w:rPr>
        <w:t>。</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成都荣嘉逸建筑有限公司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2506"/>
        <w:gridCol w:w="2136"/>
        <w:gridCol w:w="1276"/>
        <w:gridCol w:w="2465"/>
        <w:gridCol w:w="228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25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21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4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w:t>
            </w:r>
          </w:p>
        </w:tc>
        <w:tc>
          <w:tcPr>
            <w:tcW w:w="1827"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沥青混凝土</w:t>
            </w:r>
          </w:p>
        </w:tc>
        <w:tc>
          <w:tcPr>
            <w:tcW w:w="250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AC-16C</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7800.00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4" w:type="dxa"/>
            <w:vAlign w:val="center"/>
          </w:tcPr>
          <w:p>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w:t>
            </w:r>
          </w:p>
        </w:tc>
        <w:tc>
          <w:tcPr>
            <w:tcW w:w="1827" w:type="dxa"/>
            <w:vAlign w:val="center"/>
          </w:tcPr>
          <w:p>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沥青混凝土</w:t>
            </w:r>
          </w:p>
        </w:tc>
        <w:tc>
          <w:tcPr>
            <w:tcW w:w="250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AC-</w:t>
            </w:r>
            <w:r>
              <w:rPr>
                <w:rFonts w:hint="eastAsia" w:ascii="仿宋" w:hAnsi="仿宋" w:eastAsia="仿宋" w:cs="仿宋"/>
                <w:i w:val="0"/>
                <w:iCs w:val="0"/>
                <w:color w:val="000000"/>
                <w:kern w:val="0"/>
                <w:sz w:val="24"/>
                <w:szCs w:val="24"/>
                <w:u w:val="none"/>
                <w:lang w:val="en-US" w:eastAsia="zh-CN" w:bidi="ar"/>
              </w:rPr>
              <w:t>20</w:t>
            </w:r>
            <w:r>
              <w:rPr>
                <w:rFonts w:hint="default" w:ascii="仿宋" w:hAnsi="仿宋" w:eastAsia="仿宋" w:cs="仿宋"/>
                <w:i w:val="0"/>
                <w:iCs w:val="0"/>
                <w:color w:val="000000"/>
                <w:kern w:val="0"/>
                <w:sz w:val="24"/>
                <w:szCs w:val="24"/>
                <w:u w:val="none"/>
                <w:lang w:val="en-US" w:eastAsia="zh-CN" w:bidi="ar"/>
              </w:rPr>
              <w:t>C</w:t>
            </w:r>
          </w:p>
        </w:tc>
        <w:tc>
          <w:tcPr>
            <w:tcW w:w="21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265.00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4" w:type="dxa"/>
            <w:vAlign w:val="center"/>
          </w:tcPr>
          <w:p>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3</w:t>
            </w:r>
          </w:p>
        </w:tc>
        <w:tc>
          <w:tcPr>
            <w:tcW w:w="1827" w:type="dxa"/>
            <w:vAlign w:val="center"/>
          </w:tcPr>
          <w:p>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沥青混凝土</w:t>
            </w:r>
          </w:p>
        </w:tc>
        <w:tc>
          <w:tcPr>
            <w:tcW w:w="250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AC-13C</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8410.00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4</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商品混凝土</w:t>
            </w:r>
          </w:p>
        </w:tc>
        <w:tc>
          <w:tcPr>
            <w:tcW w:w="2506" w:type="dxa"/>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C15</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2910.00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5</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商品混凝土</w:t>
            </w:r>
          </w:p>
        </w:tc>
        <w:tc>
          <w:tcPr>
            <w:tcW w:w="2506" w:type="dxa"/>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C20</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1600.00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6</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商品混凝土</w:t>
            </w:r>
          </w:p>
        </w:tc>
        <w:tc>
          <w:tcPr>
            <w:tcW w:w="2506" w:type="dxa"/>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C25</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850.00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4" w:type="dxa"/>
            <w:vAlign w:val="center"/>
          </w:tcPr>
          <w:p>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7</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商品混凝土</w:t>
            </w:r>
          </w:p>
        </w:tc>
        <w:tc>
          <w:tcPr>
            <w:tcW w:w="2506" w:type="dxa"/>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C30</w:t>
            </w:r>
          </w:p>
        </w:tc>
        <w:tc>
          <w:tcPr>
            <w:tcW w:w="21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r>
              <w:rPr>
                <w:rFonts w:hint="default" w:ascii="仿宋" w:hAnsi="仿宋" w:eastAsia="仿宋" w:cs="仿宋"/>
                <w:i w:val="0"/>
                <w:iCs w:val="0"/>
                <w:color w:val="000000"/>
                <w:kern w:val="0"/>
                <w:sz w:val="24"/>
                <w:szCs w:val="24"/>
                <w:u w:val="none"/>
                <w:lang w:val="en-US" w:eastAsia="zh-CN" w:bidi="ar"/>
              </w:rPr>
              <w:t>0</w:t>
            </w:r>
            <w:r>
              <w:rPr>
                <w:rFonts w:hint="eastAsia" w:ascii="仿宋" w:hAnsi="仿宋" w:eastAsia="仿宋" w:cs="仿宋"/>
                <w:i w:val="0"/>
                <w:iCs w:val="0"/>
                <w:color w:val="000000"/>
                <w:kern w:val="0"/>
                <w:sz w:val="24"/>
                <w:szCs w:val="24"/>
                <w:u w:val="none"/>
                <w:lang w:val="en-US" w:eastAsia="zh-CN" w:bidi="ar"/>
              </w:rPr>
              <w:t>.00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8</w:t>
            </w:r>
          </w:p>
        </w:tc>
        <w:tc>
          <w:tcPr>
            <w:tcW w:w="182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预拌砌筑砂浆</w:t>
            </w:r>
          </w:p>
        </w:tc>
        <w:tc>
          <w:tcPr>
            <w:tcW w:w="2506" w:type="dxa"/>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M7.5</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bookmarkStart w:id="0" w:name="_GoBack"/>
            <w:bookmarkEnd w:id="0"/>
            <w:r>
              <w:rPr>
                <w:rFonts w:hint="eastAsia" w:ascii="仿宋" w:hAnsi="仿宋" w:eastAsia="仿宋" w:cs="仿宋"/>
                <w:i w:val="0"/>
                <w:iCs w:val="0"/>
                <w:color w:val="000000"/>
                <w:kern w:val="0"/>
                <w:sz w:val="24"/>
                <w:szCs w:val="24"/>
                <w:u w:val="none"/>
                <w:lang w:val="en-US" w:eastAsia="zh-CN" w:bidi="ar"/>
              </w:rPr>
              <w:t>.00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综合单价包含但不限于该混凝土所需涉及的</w:t>
            </w:r>
            <w:r>
              <w:rPr>
                <w:rFonts w:hint="eastAsia" w:ascii="Times New Roman" w:hAnsi="Times New Roman" w:eastAsia="仿宋" w:cs="Times New Roman"/>
                <w:kern w:val="2"/>
                <w:sz w:val="24"/>
                <w:szCs w:val="24"/>
                <w:highlight w:val="none"/>
                <w:lang w:val="en-US" w:eastAsia="zh-CN" w:bidi="ar-SA"/>
              </w:rPr>
              <w:t>拌合</w:t>
            </w:r>
            <w:r>
              <w:rPr>
                <w:rFonts w:hint="default" w:ascii="Times New Roman" w:hAnsi="Times New Roman" w:eastAsia="仿宋" w:cs="Times New Roman"/>
                <w:kern w:val="2"/>
                <w:sz w:val="24"/>
                <w:szCs w:val="24"/>
                <w:highlight w:val="none"/>
                <w:lang w:val="en-US" w:eastAsia="zh-CN" w:bidi="ar-SA"/>
              </w:rPr>
              <w:t>人工费、材料费（砂、石、</w:t>
            </w:r>
            <w:r>
              <w:rPr>
                <w:rFonts w:hint="eastAsia" w:ascii="Times New Roman" w:hAnsi="Times New Roman" w:eastAsia="仿宋" w:cs="Times New Roman"/>
                <w:kern w:val="2"/>
                <w:sz w:val="24"/>
                <w:szCs w:val="24"/>
                <w:highlight w:val="none"/>
                <w:lang w:val="en-US" w:eastAsia="zh-CN" w:bidi="ar-SA"/>
              </w:rPr>
              <w:t>水泥、沥青、添加</w:t>
            </w:r>
            <w:r>
              <w:rPr>
                <w:rFonts w:hint="default" w:ascii="Times New Roman" w:hAnsi="Times New Roman" w:eastAsia="仿宋" w:cs="Times New Roman"/>
                <w:kern w:val="2"/>
                <w:sz w:val="24"/>
                <w:szCs w:val="24"/>
                <w:highlight w:val="none"/>
                <w:lang w:val="en-US" w:eastAsia="zh-CN" w:bidi="ar-SA"/>
              </w:rPr>
              <w:t>剂等材料）、</w:t>
            </w:r>
            <w:r>
              <w:rPr>
                <w:rFonts w:hint="eastAsia" w:ascii="Times New Roman" w:hAnsi="Times New Roman" w:eastAsia="仿宋" w:cs="Times New Roman"/>
                <w:kern w:val="2"/>
                <w:sz w:val="24"/>
                <w:szCs w:val="24"/>
                <w:highlight w:val="none"/>
                <w:lang w:val="en-US" w:eastAsia="zh-CN" w:bidi="ar-SA"/>
              </w:rPr>
              <w:t>柴油、燃料费、</w:t>
            </w:r>
            <w:r>
              <w:rPr>
                <w:rFonts w:hint="default" w:ascii="Times New Roman" w:hAnsi="Times New Roman" w:eastAsia="仿宋" w:cs="Times New Roman"/>
                <w:kern w:val="2"/>
                <w:sz w:val="24"/>
                <w:szCs w:val="24"/>
                <w:highlight w:val="none"/>
                <w:lang w:val="en-US" w:eastAsia="zh-CN" w:bidi="ar-SA"/>
              </w:rPr>
              <w:t>机具费、运输</w:t>
            </w:r>
            <w:r>
              <w:rPr>
                <w:rFonts w:hint="eastAsia" w:ascii="Times New Roman" w:hAnsi="Times New Roman" w:eastAsia="仿宋" w:cs="Times New Roman"/>
                <w:kern w:val="2"/>
                <w:sz w:val="24"/>
                <w:szCs w:val="24"/>
                <w:highlight w:val="none"/>
                <w:lang w:val="en-US" w:eastAsia="zh-CN" w:bidi="ar-SA"/>
              </w:rPr>
              <w:t>费</w:t>
            </w:r>
            <w:r>
              <w:rPr>
                <w:rFonts w:hint="default"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kern w:val="2"/>
                <w:sz w:val="24"/>
                <w:szCs w:val="24"/>
                <w:highlight w:val="none"/>
                <w:lang w:val="en-US" w:eastAsia="zh-CN" w:bidi="ar-SA"/>
              </w:rPr>
              <w:t>管理费、利润、措施费、</w:t>
            </w:r>
            <w:r>
              <w:rPr>
                <w:rFonts w:hint="default" w:ascii="Times New Roman" w:hAnsi="Times New Roman" w:eastAsia="仿宋" w:cs="Times New Roman"/>
                <w:kern w:val="2"/>
                <w:sz w:val="24"/>
                <w:szCs w:val="24"/>
                <w:highlight w:val="none"/>
                <w:lang w:val="en-US" w:eastAsia="zh-CN" w:bidi="ar-SA"/>
              </w:rPr>
              <w:t>税金等</w:t>
            </w:r>
            <w:r>
              <w:rPr>
                <w:rFonts w:hint="eastAsia" w:ascii="Times New Roman" w:hAnsi="Times New Roman" w:eastAsia="仿宋" w:cs="Times New Roman"/>
                <w:kern w:val="2"/>
                <w:sz w:val="24"/>
                <w:szCs w:val="24"/>
                <w:highlight w:val="none"/>
                <w:lang w:val="en-US" w:eastAsia="zh-CN" w:bidi="ar-SA"/>
              </w:rPr>
              <w:t>供应满足设计及施工要求材料的所有</w:t>
            </w:r>
            <w:r>
              <w:rPr>
                <w:rFonts w:hint="default" w:ascii="Times New Roman" w:hAnsi="Times New Roman" w:eastAsia="仿宋" w:cs="Times New Roman"/>
                <w:kern w:val="2"/>
                <w:sz w:val="24"/>
                <w:szCs w:val="24"/>
                <w:highlight w:val="none"/>
                <w:lang w:val="en-US" w:eastAsia="zh-CN" w:bidi="ar-SA"/>
              </w:rPr>
              <w:t>费用。</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混凝土的配合比需满足设计、施工及规范要求。</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供应商应按计划单要求及时供应合格的预拌混凝土。如供应商不能按时供应，每批商砼每延迟一个小时，供应商向采购人支付3000元违约金。超过3个小时，每个小时供应商向采购人支付10000元的违约金并承担采购人耽误工期造成的其它损失，以上违约金可累计。如果合作期间，供应商出现5次以上（含5次）供应不及时，采购人有权更换预拌混凝土供应单位（因不可抗力因素引起的延迟除外）</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采购人</w:t>
            </w:r>
            <w:r>
              <w:rPr>
                <w:rFonts w:hint="default" w:ascii="Times New Roman" w:hAnsi="Times New Roman" w:eastAsia="仿宋" w:cs="Times New Roman"/>
                <w:kern w:val="2"/>
                <w:sz w:val="24"/>
                <w:szCs w:val="24"/>
                <w:highlight w:val="none"/>
                <w:lang w:val="en-US" w:eastAsia="zh-CN" w:bidi="ar-SA"/>
              </w:rPr>
              <w:t>有权不定时采用过磅方式抽查</w:t>
            </w:r>
            <w:r>
              <w:rPr>
                <w:rFonts w:hint="eastAsia" w:ascii="Times New Roman" w:hAnsi="Times New Roman" w:eastAsia="仿宋" w:cs="Times New Roman"/>
                <w:kern w:val="2"/>
                <w:sz w:val="24"/>
                <w:szCs w:val="24"/>
                <w:highlight w:val="none"/>
                <w:lang w:val="en-US" w:eastAsia="zh-CN" w:bidi="ar-SA"/>
              </w:rPr>
              <w:t>供应商</w:t>
            </w:r>
            <w:r>
              <w:rPr>
                <w:rFonts w:hint="default" w:ascii="Times New Roman" w:hAnsi="Times New Roman" w:eastAsia="仿宋" w:cs="Times New Roman"/>
                <w:kern w:val="2"/>
                <w:sz w:val="24"/>
                <w:szCs w:val="24"/>
                <w:highlight w:val="none"/>
                <w:lang w:val="en-US" w:eastAsia="zh-CN" w:bidi="ar-SA"/>
              </w:rPr>
              <w:t>所送商砼量（正负误差不超过2%），每次抽查不少于三车，如果所供商砼容重量少于送货单容重量（</w:t>
            </w:r>
            <w:r>
              <w:rPr>
                <w:rFonts w:hint="eastAsia" w:ascii="Times New Roman" w:hAnsi="Times New Roman" w:eastAsia="仿宋" w:cs="Times New Roman"/>
                <w:kern w:val="2"/>
                <w:sz w:val="24"/>
                <w:szCs w:val="24"/>
                <w:highlight w:val="none"/>
                <w:lang w:val="en-US" w:eastAsia="zh-CN" w:bidi="ar-SA"/>
              </w:rPr>
              <w:t>供应商</w:t>
            </w:r>
            <w:r>
              <w:rPr>
                <w:rFonts w:hint="default" w:ascii="Times New Roman" w:hAnsi="Times New Roman" w:eastAsia="仿宋" w:cs="Times New Roman"/>
                <w:kern w:val="2"/>
                <w:sz w:val="24"/>
                <w:szCs w:val="24"/>
                <w:highlight w:val="none"/>
                <w:lang w:val="en-US" w:eastAsia="zh-CN" w:bidi="ar-SA"/>
              </w:rPr>
              <w:t>如果对数据有异议，可以委托第三方复核），</w:t>
            </w:r>
            <w:r>
              <w:rPr>
                <w:rFonts w:hint="eastAsia" w:ascii="Times New Roman" w:hAnsi="Times New Roman" w:eastAsia="仿宋" w:cs="Times New Roman"/>
                <w:kern w:val="2"/>
                <w:sz w:val="24"/>
                <w:szCs w:val="24"/>
                <w:highlight w:val="none"/>
                <w:lang w:val="en-US" w:eastAsia="zh-CN" w:bidi="ar-SA"/>
              </w:rPr>
              <w:t>采购人</w:t>
            </w:r>
            <w:r>
              <w:rPr>
                <w:rFonts w:hint="default" w:ascii="Times New Roman" w:hAnsi="Times New Roman" w:eastAsia="仿宋" w:cs="Times New Roman"/>
                <w:kern w:val="2"/>
                <w:sz w:val="24"/>
                <w:szCs w:val="24"/>
                <w:highlight w:val="none"/>
                <w:lang w:val="en-US" w:eastAsia="zh-CN" w:bidi="ar-SA"/>
              </w:rPr>
              <w:t>取所有抽查批次量的平均值，平均值系数比（平均值容重量/送货单容重量）乘以本</w:t>
            </w:r>
            <w:r>
              <w:rPr>
                <w:rFonts w:hint="eastAsia" w:ascii="Times New Roman" w:hAnsi="Times New Roman" w:eastAsia="仿宋" w:cs="Times New Roman"/>
                <w:kern w:val="2"/>
                <w:sz w:val="24"/>
                <w:szCs w:val="24"/>
                <w:highlight w:val="none"/>
                <w:lang w:val="en-US" w:eastAsia="zh-CN" w:bidi="ar-SA"/>
              </w:rPr>
              <w:t>次</w:t>
            </w:r>
            <w:r>
              <w:rPr>
                <w:rFonts w:hint="default" w:ascii="Times New Roman" w:hAnsi="Times New Roman" w:eastAsia="仿宋" w:cs="Times New Roman"/>
                <w:kern w:val="2"/>
                <w:sz w:val="24"/>
                <w:szCs w:val="24"/>
                <w:highlight w:val="none"/>
                <w:lang w:val="en-US" w:eastAsia="zh-CN" w:bidi="ar-SA"/>
              </w:rPr>
              <w:t>所送商砼量作为商砼结算量。</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E5EF2"/>
    <w:multiLevelType w:val="singleLevel"/>
    <w:tmpl w:val="FF9E5E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jExODllMTkzMjIyMDJlNmUzN2EzNTMxZDM1N2UifQ=="/>
    <w:docVar w:name="KSO_WPS_MARK_KEY" w:val="20c4dbe7-d5f0-4e2e-94e3-99bb785b6d7b"/>
  </w:docVars>
  <w:rsids>
    <w:rsidRoot w:val="00000000"/>
    <w:rsid w:val="064A024E"/>
    <w:rsid w:val="15D25827"/>
    <w:rsid w:val="17891AD0"/>
    <w:rsid w:val="22EE1B8A"/>
    <w:rsid w:val="244A10B4"/>
    <w:rsid w:val="27FB476C"/>
    <w:rsid w:val="2A414E3D"/>
    <w:rsid w:val="32AA2E28"/>
    <w:rsid w:val="376E6DE0"/>
    <w:rsid w:val="3C633EE7"/>
    <w:rsid w:val="3C8E678D"/>
    <w:rsid w:val="40B532EE"/>
    <w:rsid w:val="434211AC"/>
    <w:rsid w:val="482B4B68"/>
    <w:rsid w:val="66417024"/>
    <w:rsid w:val="69C04704"/>
    <w:rsid w:val="6C4D0286"/>
    <w:rsid w:val="6F6D67C2"/>
    <w:rsid w:val="7A6510DB"/>
    <w:rsid w:val="BFFF4D38"/>
    <w:rsid w:val="F59D83EE"/>
    <w:rsid w:val="FEB5F73A"/>
    <w:rsid w:val="FF93EE19"/>
    <w:rsid w:val="FFE3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index 8"/>
    <w:basedOn w:val="1"/>
    <w:next w:val="1"/>
    <w:qFormat/>
    <w:uiPriority w:val="0"/>
    <w:pPr>
      <w:ind w:left="1400" w:leftChars="1400"/>
    </w:pPr>
  </w:style>
  <w:style w:type="paragraph" w:styleId="5">
    <w:name w:val="Body Text"/>
    <w:basedOn w:val="1"/>
    <w:qFormat/>
    <w:uiPriority w:val="0"/>
    <w:pPr>
      <w:spacing w:before="50" w:after="1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1661</Words>
  <Characters>1754</Characters>
  <Lines>0</Lines>
  <Paragraphs>0</Paragraphs>
  <TotalTime>0</TotalTime>
  <ScaleCrop>false</ScaleCrop>
  <LinksUpToDate>false</LinksUpToDate>
  <CharactersWithSpaces>3249</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2024-11-17T00:27:00Z</dcterms:created>
  <dc:creator>Administrator</dc:creator>
  <cp:lastModifiedBy>热浪</cp:lastModifiedBy>
  <dcterms:modified xsi:type="dcterms:W3CDTF">2025-04-25T08:23:29Z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