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四川富泰盛安建设工程有限公司：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lang w:val="en-US" w:eastAsia="zh-CN" w:bidi="ar-SA"/>
        </w:rPr>
      </w:pPr>
      <w:bookmarkStart w:id="0" w:name="_GoBack"/>
      <w:r>
        <w:rPr>
          <w:rFonts w:hint="default" w:ascii="Times New Roman" w:hAnsi="Times New Roman" w:eastAsia="仿宋" w:cs="Times New Roman"/>
          <w:kern w:val="2"/>
          <w:sz w:val="24"/>
          <w:szCs w:val="24"/>
          <w:lang w:val="en-US" w:eastAsia="zh-CN" w:bidi="ar-SA"/>
        </w:rPr>
        <w:t>项目名称：成达万铁路蓬溪南站配套基础设施项目（一期）【隧道工程】机械租赁</w:t>
      </w:r>
      <w:r>
        <w:rPr>
          <w:rFonts w:hint="eastAsia" w:ascii="Times New Roman" w:hAnsi="Times New Roman" w:eastAsia="仿宋" w:cs="Times New Roman"/>
          <w:kern w:val="2"/>
          <w:sz w:val="24"/>
          <w:szCs w:val="24"/>
          <w:lang w:val="en-US" w:eastAsia="zh-CN" w:bidi="ar-SA"/>
        </w:rPr>
        <w:t>工程</w:t>
      </w:r>
      <w:r>
        <w:rPr>
          <w:rFonts w:hint="default" w:ascii="Times New Roman" w:hAnsi="Times New Roman" w:eastAsia="仿宋"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询价单位：四川富泰盛安建设工程有限公司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bookmarkEnd w:id="0"/>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2136"/>
        <w:gridCol w:w="1276"/>
        <w:gridCol w:w="2465"/>
        <w:gridCol w:w="228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21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w:t>
            </w:r>
          </w:p>
        </w:tc>
        <w:tc>
          <w:tcPr>
            <w:tcW w:w="1827"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挖机</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60-7</w:t>
            </w:r>
          </w:p>
        </w:tc>
        <w:tc>
          <w:tcPr>
            <w:tcW w:w="213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w:t>
            </w:r>
          </w:p>
        </w:tc>
        <w:tc>
          <w:tcPr>
            <w:tcW w:w="1827"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挖机（带破碎）</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60-7</w:t>
            </w:r>
          </w:p>
        </w:tc>
        <w:tc>
          <w:tcPr>
            <w:tcW w:w="213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3</w:t>
            </w:r>
          </w:p>
        </w:tc>
        <w:tc>
          <w:tcPr>
            <w:tcW w:w="1827"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挖机</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150</w:t>
            </w:r>
          </w:p>
        </w:tc>
        <w:tc>
          <w:tcPr>
            <w:tcW w:w="213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4</w:t>
            </w:r>
          </w:p>
        </w:tc>
        <w:tc>
          <w:tcPr>
            <w:tcW w:w="1827"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挖机（带破碎）</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150</w:t>
            </w:r>
          </w:p>
        </w:tc>
        <w:tc>
          <w:tcPr>
            <w:tcW w:w="213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5</w:t>
            </w:r>
          </w:p>
        </w:tc>
        <w:tc>
          <w:tcPr>
            <w:tcW w:w="1827"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挖机</w:t>
            </w:r>
          </w:p>
        </w:tc>
        <w:tc>
          <w:tcPr>
            <w:tcW w:w="250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c>
          <w:tcPr>
            <w:tcW w:w="213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6</w:t>
            </w:r>
          </w:p>
        </w:tc>
        <w:tc>
          <w:tcPr>
            <w:tcW w:w="1827"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挖机（带破碎）</w:t>
            </w:r>
          </w:p>
        </w:tc>
        <w:tc>
          <w:tcPr>
            <w:tcW w:w="250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c>
          <w:tcPr>
            <w:tcW w:w="213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7</w:t>
            </w:r>
          </w:p>
        </w:tc>
        <w:tc>
          <w:tcPr>
            <w:tcW w:w="1827"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装载机</w:t>
            </w:r>
          </w:p>
        </w:tc>
        <w:tc>
          <w:tcPr>
            <w:tcW w:w="250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50E</w:t>
            </w:r>
          </w:p>
        </w:tc>
        <w:tc>
          <w:tcPr>
            <w:tcW w:w="213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8</w:t>
            </w:r>
          </w:p>
        </w:tc>
        <w:tc>
          <w:tcPr>
            <w:tcW w:w="1827"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振动压路机</w:t>
            </w:r>
          </w:p>
        </w:tc>
        <w:tc>
          <w:tcPr>
            <w:tcW w:w="250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26T</w:t>
            </w:r>
          </w:p>
        </w:tc>
        <w:tc>
          <w:tcPr>
            <w:tcW w:w="2136" w:type="dxa"/>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9</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悬臂式隧洞掘进机</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XTR4/180</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10</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喷桨机</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满足项目需求</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11</w:t>
            </w:r>
          </w:p>
        </w:tc>
        <w:tc>
          <w:tcPr>
            <w:tcW w:w="182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运输车辆</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自卸汽车（载重22m³）</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0</w:t>
            </w:r>
            <w:r>
              <w:rPr>
                <w:rFonts w:hint="default"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pPr>
              <w:numPr>
                <w:ilvl w:val="0"/>
                <w:numId w:val="1"/>
              </w:num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综合单价包括但不限于材料费、机械费、人工费（包含机上人工费、辅助施工人工费等）、燃油费、拖/背车费、二次转运费、安全文明施工费、临时设施费、水电费、其他措施费、管理费、利润、</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城管等政府职能部门协调费、风险等所涉及工程的全部费用。</w:t>
            </w:r>
          </w:p>
          <w:p>
            <w:pPr>
              <w:numPr>
                <w:ilvl w:val="0"/>
                <w:numId w:val="1"/>
              </w:numPr>
              <w:bidi w:val="0"/>
              <w:jc w:val="left"/>
              <w:rPr>
                <w:rFonts w:hint="default"/>
                <w:lang w:val="en-US" w:eastAsia="zh-CN"/>
              </w:rPr>
            </w:pPr>
            <w:r>
              <w:rPr>
                <w:rFonts w:hint="default" w:ascii="Times New Roman" w:hAnsi="Times New Roman" w:eastAsia="仿宋" w:cs="Times New Roman"/>
                <w:kern w:val="2"/>
                <w:sz w:val="24"/>
                <w:szCs w:val="24"/>
                <w:highlight w:val="none"/>
                <w:lang w:val="en-US" w:eastAsia="zh-CN" w:bidi="ar-SA"/>
              </w:rPr>
              <w:t>该费用包干综合单价在本工程实施过程中，不因市场物价上涨、原材料或人工费上涨、政府调整物价及其它任何因素而作调整。</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发生</w:t>
      </w:r>
      <w:r>
        <w:rPr>
          <w:rFonts w:hint="default" w:ascii="Times New Roman" w:hAnsi="Times New Roman" w:eastAsia="仿宋" w:cs="Times New Roman"/>
          <w:b/>
          <w:bCs/>
          <w:kern w:val="2"/>
          <w:sz w:val="24"/>
          <w:szCs w:val="24"/>
          <w:highlight w:val="none"/>
          <w:u w:val="single"/>
          <w:lang w:val="en-US" w:eastAsia="zh-CN" w:bidi="ar-SA"/>
        </w:rPr>
        <w:t>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0FBC96CE"/>
    <w:rsid w:val="15D25827"/>
    <w:rsid w:val="17891AD0"/>
    <w:rsid w:val="244A10B4"/>
    <w:rsid w:val="27FB476C"/>
    <w:rsid w:val="2A414E3D"/>
    <w:rsid w:val="2D5C2F1F"/>
    <w:rsid w:val="32AA2E28"/>
    <w:rsid w:val="3C633EE7"/>
    <w:rsid w:val="3C8E678D"/>
    <w:rsid w:val="40B532EE"/>
    <w:rsid w:val="66417024"/>
    <w:rsid w:val="69C04704"/>
    <w:rsid w:val="6C4D0286"/>
    <w:rsid w:val="6F6D67C2"/>
    <w:rsid w:val="6FEF3969"/>
    <w:rsid w:val="7A3F4B6D"/>
    <w:rsid w:val="7A6510DB"/>
    <w:rsid w:val="7BC7DF2E"/>
    <w:rsid w:val="BA65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 w:type="character" w:customStyle="1" w:styleId="13">
    <w:name w:val="font1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1422</Words>
  <Characters>1520</Characters>
  <Lines>0</Lines>
  <Paragraphs>0</Paragraphs>
  <TotalTime>12</TotalTime>
  <ScaleCrop>false</ScaleCrop>
  <LinksUpToDate>false</LinksUpToDate>
  <CharactersWithSpaces>3015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2024-11-16T16:27:00Z</dcterms:created>
  <dc:creator>Administrator</dc:creator>
  <cp:lastModifiedBy>hw</cp:lastModifiedBy>
  <dcterms:modified xsi:type="dcterms:W3CDTF">2025-04-17T10:31:13Z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