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80" w:lineRule="exact"/>
        <w:ind w:firstLine="0" w:firstLineChars="0"/>
        <w:rPr>
          <w:rFonts w:hint="default" w:ascii="Times New Roman" w:hAnsi="Times New Roman" w:eastAsia="黑体" w:cs="Times New Roman"/>
          <w:color w:val="auto"/>
          <w:sz w:val="32"/>
          <w:szCs w:val="32"/>
          <w:highlight w:val="none"/>
        </w:rPr>
      </w:pPr>
      <w:bookmarkStart w:id="2" w:name="_GoBack"/>
      <w:bookmarkEnd w:id="2"/>
      <w:bookmarkStart w:id="0" w:name="E.3 单位工程招标控制价／投标报价汇总表(表-04-1)一般计税【交警大队硬化"/>
      <w:bookmarkEnd w:id="0"/>
      <w:bookmarkStart w:id="1" w:name="第1页"/>
      <w:bookmarkEnd w:id="1"/>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pPr>
        <w:pStyle w:val="3"/>
        <w:spacing w:before="6"/>
        <w:rPr>
          <w:rFonts w:hint="default" w:ascii="Times New Roman" w:hAnsi="Times New Roman" w:eastAsia="仿宋_GB2312" w:cs="Times New Roman"/>
          <w:b/>
          <w:color w:val="auto"/>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pPr>
        <w:pStyle w:val="3"/>
        <w:spacing w:before="7"/>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pPr>
        <w:pStyle w:val="3"/>
        <w:rPr>
          <w:rFonts w:hint="default" w:ascii="Times New Roman" w:hAnsi="Times New Roman" w:eastAsia="仿宋_GB2312" w:cs="Times New Roman"/>
          <w:color w:val="auto"/>
          <w:sz w:val="32"/>
          <w:szCs w:val="32"/>
        </w:rPr>
      </w:pPr>
    </w:p>
    <w:p>
      <w:pPr>
        <w:tabs>
          <w:tab w:val="left" w:pos="6968"/>
        </w:tabs>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投标单位名称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2"/>
        <w:spacing w:line="580" w:lineRule="exact"/>
        <w:ind w:firstLine="0" w:firstLineChars="0"/>
        <w:rPr>
          <w:rFonts w:hint="default" w:ascii="Times New Roman" w:hAnsi="Times New Roman" w:eastAsia="仿宋" w:cs="Times New Roman"/>
          <w:color w:val="auto"/>
          <w:sz w:val="32"/>
          <w:szCs w:val="32"/>
          <w:highlight w:val="none"/>
        </w:rPr>
      </w:pPr>
    </w:p>
    <w:p>
      <w:pPr>
        <w:pStyle w:val="12"/>
        <w:spacing w:line="580" w:lineRule="exact"/>
        <w:ind w:firstLine="0" w:firstLineChars="0"/>
        <w:rPr>
          <w:rFonts w:hint="default" w:ascii="Times New Roman" w:hAnsi="Times New Roman" w:eastAsia="黑体" w:cs="Times New Roman"/>
          <w:color w:val="auto"/>
          <w:sz w:val="32"/>
          <w:szCs w:val="32"/>
          <w:highlight w:val="none"/>
        </w:rPr>
      </w:pPr>
    </w:p>
    <w:p>
      <w:pPr>
        <w:pStyle w:val="12"/>
        <w:spacing w:line="580" w:lineRule="exact"/>
        <w:ind w:firstLine="0" w:firstLineChars="0"/>
        <w:rPr>
          <w:rFonts w:hint="default" w:ascii="Times New Roman" w:hAnsi="Times New Roman" w:eastAsia="黑体" w:cs="Times New Roman"/>
          <w:color w:val="auto"/>
          <w:sz w:val="32"/>
          <w:szCs w:val="32"/>
          <w:highlight w:val="none"/>
        </w:rPr>
      </w:pPr>
    </w:p>
    <w:p>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富鹏源</w:t>
      </w:r>
      <w:r>
        <w:rPr>
          <w:rFonts w:hint="default" w:ascii="Times New Roman" w:hAnsi="Times New Roman" w:cs="Times New Roman" w:eastAsiaTheme="minorEastAsia"/>
          <w:bCs/>
          <w:color w:val="auto"/>
          <w:sz w:val="24"/>
          <w:szCs w:val="24"/>
          <w:highlight w:val="none"/>
          <w:lang w:val="en-US" w:eastAsia="zh-CN" w:bidi="ar-SA"/>
        </w:rPr>
        <w:t>建设工程有限公司：</w:t>
      </w:r>
    </w:p>
    <w:p>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color w:val="auto"/>
          <w:sz w:val="24"/>
          <w:szCs w:val="24"/>
          <w:highlight w:val="none"/>
        </w:rPr>
        <w:t>郑重承诺：</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投标单位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bCs/>
          <w:color w:val="auto"/>
          <w:sz w:val="24"/>
          <w:szCs w:val="24"/>
          <w:highlight w:val="none"/>
          <w:lang w:val="zh-CN"/>
        </w:rPr>
        <w:t>。</w:t>
      </w: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投标单位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color w:val="FF0000"/>
          <w:lang w:val="en-US"/>
        </w:rPr>
        <w:sectPr>
          <w:headerReference r:id="rId3" w:type="default"/>
          <w:footerReference r:id="rId4" w:type="default"/>
          <w:pgSz w:w="11906" w:h="16838"/>
          <w:pgMar w:top="1474" w:right="1077" w:bottom="1361" w:left="1191" w:header="851" w:footer="1701" w:gutter="0"/>
          <w:pgNumType w:fmt="decimal"/>
          <w:cols w:space="0" w:num="1"/>
          <w:rtlGutter w:val="0"/>
          <w:docGrid w:type="lines" w:linePitch="312" w:charSpace="0"/>
        </w:sectPr>
      </w:pPr>
    </w:p>
    <w:p>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w:t>
      </w:r>
      <w:r>
        <w:rPr>
          <w:rFonts w:hint="eastAsia" w:ascii="Times New Roman" w:hAnsi="Times New Roman" w:eastAsia="仿宋" w:cs="Times New Roman"/>
          <w:color w:val="auto"/>
          <w:kern w:val="2"/>
          <w:sz w:val="24"/>
          <w:szCs w:val="24"/>
          <w:lang w:val="en-US" w:eastAsia="zh-CN" w:bidi="ar-SA"/>
        </w:rPr>
        <w:t>蓬溪仙桃特色优势农产品产业园建设项目履约保证金保函或保险开具</w:t>
      </w:r>
      <w:r>
        <w:rPr>
          <w:rFonts w:hint="default" w:ascii="Times New Roman" w:hAnsi="Times New Roman" w:eastAsia="仿宋" w:cs="Times New Roman"/>
          <w:color w:val="auto"/>
          <w:kern w:val="2"/>
          <w:sz w:val="24"/>
          <w:szCs w:val="24"/>
          <w:lang w:val="en-US" w:eastAsia="zh-CN" w:bidi="ar-SA"/>
        </w:rPr>
        <w:t>。</w:t>
      </w:r>
    </w:p>
    <w:p>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w:t>
      </w:r>
      <w:r>
        <w:rPr>
          <w:rFonts w:hint="eastAsia" w:ascii="Times New Roman" w:hAnsi="Times New Roman" w:eastAsia="仿宋" w:cs="Times New Roman"/>
          <w:color w:val="auto"/>
          <w:kern w:val="2"/>
          <w:sz w:val="24"/>
          <w:szCs w:val="24"/>
          <w:lang w:val="en-US" w:eastAsia="zh-CN" w:bidi="ar-SA"/>
        </w:rPr>
        <w:t>富鹏源</w:t>
      </w:r>
      <w:r>
        <w:rPr>
          <w:rFonts w:hint="default" w:ascii="Times New Roman" w:hAnsi="Times New Roman" w:eastAsia="仿宋" w:cs="Times New Roman"/>
          <w:color w:val="auto"/>
          <w:kern w:val="2"/>
          <w:sz w:val="24"/>
          <w:szCs w:val="24"/>
          <w:lang w:val="en-US" w:eastAsia="zh-CN" w:bidi="ar-SA"/>
        </w:rPr>
        <w:t>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10"/>
        <w:tblpPr w:leftFromText="180" w:rightFromText="180" w:vertAnchor="text" w:horzAnchor="page" w:tblpXSpec="center" w:tblpY="122"/>
        <w:tblOverlap w:val="never"/>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1173"/>
        <w:gridCol w:w="2387"/>
        <w:gridCol w:w="244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117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4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2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蓬溪仙桃特色优势农产品产业园建设项目履约保证金保函或保险开具</w:t>
            </w:r>
          </w:p>
        </w:tc>
        <w:tc>
          <w:tcPr>
            <w:tcW w:w="4521"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保证担保内容：按照建设项目工程总承包合同的约定，采购人应当向业主缴纳的履约保证金，由投标单位为采购人向业主开具《履约保函或保险》予以代替。</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签约合同金额：106393800.00元。</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保证期限：工程开工之日起至工程竣工验收合格之日，合同工期365日历天；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ighlight w:val="none"/>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color w:val="auto"/>
                <w:highlight w:val="yellow"/>
                <w:lang w:val="en-US" w:eastAsia="zh-CN"/>
              </w:rPr>
            </w:pPr>
            <w:r>
              <w:rPr>
                <w:rFonts w:hint="eastAsia" w:ascii="Times New Roman" w:hAnsi="Times New Roman" w:eastAsia="仿宋" w:cs="Times New Roman"/>
                <w:color w:val="auto"/>
                <w:kern w:val="2"/>
                <w:sz w:val="24"/>
                <w:szCs w:val="24"/>
                <w:highlight w:val="none"/>
                <w:lang w:val="en-US" w:eastAsia="zh-CN" w:bidi="ar-SA"/>
              </w:rPr>
              <w:t>5、关于履约保证金保函或保险开具的其他因素以建设项目工程总承包合同约定为准；</w:t>
            </w:r>
          </w:p>
        </w:tc>
        <w:tc>
          <w:tcPr>
            <w:tcW w:w="1173" w:type="dxa"/>
            <w:vAlign w:val="center"/>
          </w:tcPr>
          <w:p>
            <w:pPr>
              <w:bidi w:val="0"/>
              <w:jc w:val="center"/>
              <w:rPr>
                <w:rFonts w:hint="default" w:ascii="Times New Roman" w:hAnsi="Times New Roman" w:eastAsia="仿宋" w:cs="Times New Roman"/>
                <w:color w:val="auto"/>
                <w:kern w:val="2"/>
                <w:sz w:val="24"/>
                <w:szCs w:val="24"/>
                <w:highlight w:val="yellow"/>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2387" w:type="dxa"/>
            <w:vAlign w:val="center"/>
          </w:tcPr>
          <w:p>
            <w:pPr>
              <w:bidi w:val="0"/>
              <w:jc w:val="center"/>
              <w:rPr>
                <w:rFonts w:hint="default" w:ascii="Times New Roman" w:hAnsi="Times New Roman" w:eastAsia="仿宋" w:cs="Times New Roman"/>
                <w:color w:val="auto"/>
                <w:kern w:val="2"/>
                <w:sz w:val="24"/>
                <w:szCs w:val="24"/>
                <w:highlight w:val="yellow"/>
                <w:lang w:val="en-US" w:eastAsia="zh-CN" w:bidi="ar-SA"/>
              </w:rPr>
            </w:pPr>
          </w:p>
        </w:tc>
        <w:tc>
          <w:tcPr>
            <w:tcW w:w="2440"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240" w:type="dxa"/>
            <w:vAlign w:val="center"/>
          </w:tcPr>
          <w:p>
            <w:pPr>
              <w:bidi w:val="0"/>
              <w:jc w:val="center"/>
              <w:rPr>
                <w:rFonts w:hint="default" w:ascii="Times New Roman" w:hAnsi="Times New Roman" w:eastAsia="仿宋" w:cs="Times New Roman"/>
                <w:color w:val="FF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3990" w:type="dxa"/>
            <w:gridSpan w:val="7"/>
            <w:vAlign w:val="center"/>
          </w:tcPr>
          <w:p>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提供本项目履约保函或保险</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投标单位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19CE4210"/>
    <w:rsid w:val="23F90792"/>
    <w:rsid w:val="244A10B4"/>
    <w:rsid w:val="2A414E3D"/>
    <w:rsid w:val="30FD3054"/>
    <w:rsid w:val="32A61CB5"/>
    <w:rsid w:val="32AA2E28"/>
    <w:rsid w:val="338665EA"/>
    <w:rsid w:val="33EB256E"/>
    <w:rsid w:val="3C633EE7"/>
    <w:rsid w:val="3C8E678D"/>
    <w:rsid w:val="3FE429C6"/>
    <w:rsid w:val="48C44DFE"/>
    <w:rsid w:val="4DB678D8"/>
    <w:rsid w:val="5FB716A4"/>
    <w:rsid w:val="60E03D35"/>
    <w:rsid w:val="6449399F"/>
    <w:rsid w:val="666A48A8"/>
    <w:rsid w:val="69C04704"/>
    <w:rsid w:val="73EF708B"/>
    <w:rsid w:val="7A6510DB"/>
    <w:rsid w:val="EFB1EEF9"/>
    <w:rsid w:val="F7FF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2436</Words>
  <Characters>2588</Characters>
  <Lines>0</Lines>
  <Paragraphs>0</Paragraphs>
  <TotalTime>4</TotalTime>
  <ScaleCrop>false</ScaleCrop>
  <LinksUpToDate>false</LinksUpToDate>
  <CharactersWithSpaces>4087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hw</cp:lastModifiedBy>
  <cp:lastPrinted>2024-12-07T02:36:00Z</cp:lastPrinted>
  <dcterms:modified xsi:type="dcterms:W3CDTF">2025-03-17T16:45:12Z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